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E9" w:rsidRPr="00946939" w:rsidRDefault="00CA7DE9" w:rsidP="00CA7DE9">
      <w:pPr>
        <w:rPr>
          <w:i/>
        </w:rPr>
      </w:pPr>
      <w:r w:rsidRPr="00946939">
        <w:rPr>
          <w:i/>
          <w:noProof/>
        </w:rPr>
        <w:drawing>
          <wp:anchor distT="0" distB="0" distL="0" distR="0" simplePos="0" relativeHeight="251660288" behindDoc="0" locked="0" layoutInCell="0" hidden="0" allowOverlap="0" wp14:anchorId="5595A7F6" wp14:editId="69596E0C">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2493010" cy="1078230"/>
                    </a:xfrm>
                    <a:prstGeom prst="rect">
                      <a:avLst/>
                    </a:prstGeom>
                  </pic:spPr>
                </pic:pic>
              </a:graphicData>
            </a:graphic>
          </wp:anchor>
        </w:drawing>
      </w:r>
    </w:p>
    <w:p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rsidR="001325FE" w:rsidRPr="001325FE" w:rsidRDefault="001325FE" w:rsidP="001325FE">
      <w:pPr>
        <w:jc w:val="center"/>
        <w:rPr>
          <w:sz w:val="52"/>
          <w:szCs w:val="52"/>
        </w:rPr>
      </w:pPr>
      <w:r>
        <w:rPr>
          <w:b/>
          <w:sz w:val="52"/>
          <w:szCs w:val="52"/>
        </w:rPr>
        <w:t>Arrangement and Description Track</w:t>
      </w:r>
    </w:p>
    <w:p w:rsidR="00CA7DE9" w:rsidRDefault="00CA7DE9" w:rsidP="00CA7DE9"/>
    <w:p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0"/>
        <w:gridCol w:w="12420"/>
      </w:tblGrid>
      <w:tr w:rsidR="009006DC" w:rsidTr="006D5F69">
        <w:tc>
          <w:tcPr>
            <w:tcW w:w="2070" w:type="dxa"/>
            <w:tcMar>
              <w:left w:w="0" w:type="dxa"/>
              <w:right w:w="0" w:type="dxa"/>
            </w:tcMar>
            <w:vAlign w:val="center"/>
          </w:tcPr>
          <w:p w:rsidR="009006DC" w:rsidRPr="006D5F69" w:rsidRDefault="009006DC" w:rsidP="009006DC">
            <w:pPr>
              <w:rPr>
                <w:b/>
                <w:sz w:val="32"/>
                <w:szCs w:val="32"/>
              </w:rPr>
            </w:pPr>
            <w:r w:rsidRPr="006D5F69">
              <w:rPr>
                <w:b/>
                <w:color w:val="000000"/>
                <w:sz w:val="32"/>
                <w:szCs w:val="32"/>
              </w:rPr>
              <w:t xml:space="preserve">Title </w:t>
            </w:r>
          </w:p>
        </w:tc>
        <w:tc>
          <w:tcPr>
            <w:tcW w:w="12420" w:type="dxa"/>
            <w:tcMar>
              <w:left w:w="0" w:type="dxa"/>
              <w:right w:w="0" w:type="dxa"/>
            </w:tcMar>
            <w:vAlign w:val="center"/>
          </w:tcPr>
          <w:p w:rsidR="009006DC" w:rsidRDefault="003B290B" w:rsidP="009006DC">
            <w:r>
              <w:t xml:space="preserve"> Implementing DACS in Integrated Content Management Systems: Using the Archivists’ Toolkit</w:t>
            </w:r>
          </w:p>
        </w:tc>
      </w:tr>
      <w:tr w:rsidR="006D5F69" w:rsidTr="006D5F69">
        <w:tc>
          <w:tcPr>
            <w:tcW w:w="2070" w:type="dxa"/>
            <w:tcMar>
              <w:left w:w="0" w:type="dxa"/>
              <w:right w:w="0" w:type="dxa"/>
            </w:tcMar>
            <w:vAlign w:val="center"/>
          </w:tcPr>
          <w:p w:rsidR="006D5F69" w:rsidRPr="006D5F69" w:rsidRDefault="006D5F69" w:rsidP="009006DC">
            <w:pPr>
              <w:rPr>
                <w:b/>
                <w:color w:val="000000"/>
                <w:sz w:val="32"/>
                <w:szCs w:val="32"/>
              </w:rPr>
            </w:pPr>
            <w:r w:rsidRPr="006D5F69">
              <w:rPr>
                <w:b/>
                <w:color w:val="000000"/>
                <w:sz w:val="32"/>
                <w:szCs w:val="32"/>
              </w:rPr>
              <w:t>Reviewer:</w:t>
            </w:r>
          </w:p>
        </w:tc>
        <w:tc>
          <w:tcPr>
            <w:tcW w:w="12420" w:type="dxa"/>
            <w:tcMar>
              <w:left w:w="0" w:type="dxa"/>
              <w:right w:w="0" w:type="dxa"/>
            </w:tcMar>
            <w:vAlign w:val="center"/>
          </w:tcPr>
          <w:p w:rsidR="006D5F69" w:rsidRDefault="003B290B" w:rsidP="009006DC">
            <w:r>
              <w:t xml:space="preserve"> Alison Clemens</w:t>
            </w:r>
          </w:p>
        </w:tc>
      </w:tr>
    </w:tbl>
    <w:p w:rsidR="009006DC" w:rsidRPr="00B82EBB" w:rsidRDefault="009006DC" w:rsidP="009006DC">
      <w:pPr>
        <w:pStyle w:val="Header"/>
        <w:tabs>
          <w:tab w:val="clear" w:pos="4320"/>
          <w:tab w:val="clear" w:pos="8640"/>
        </w:tabs>
        <w:rPr>
          <w:szCs w:val="24"/>
        </w:rPr>
      </w:pPr>
      <w:r w:rsidRPr="00B82EBB">
        <w:rPr>
          <w:szCs w:val="24"/>
        </w:rPr>
        <w:t xml:space="preserve">Directions:  </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rsidTr="00465F4B">
        <w:trPr>
          <w:gridAfter w:val="1"/>
          <w:wAfter w:w="270" w:type="dxa"/>
          <w:trHeight w:val="468"/>
        </w:trPr>
        <w:tc>
          <w:tcPr>
            <w:tcW w:w="11448" w:type="dxa"/>
            <w:gridSpan w:val="3"/>
            <w:tcBorders>
              <w:top w:val="nil"/>
              <w:left w:val="nil"/>
            </w:tcBorders>
          </w:tcPr>
          <w:p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rsidR="009006DC" w:rsidRPr="00B82EBB" w:rsidRDefault="009006DC" w:rsidP="009006DC">
            <w:pPr>
              <w:jc w:val="center"/>
              <w:rPr>
                <w:b/>
                <w:szCs w:val="24"/>
              </w:rPr>
            </w:pPr>
            <w:r w:rsidRPr="00B82EBB">
              <w:rPr>
                <w:b/>
                <w:szCs w:val="24"/>
              </w:rPr>
              <w:t>1</w:t>
            </w:r>
          </w:p>
        </w:tc>
        <w:tc>
          <w:tcPr>
            <w:tcW w:w="540" w:type="dxa"/>
            <w:tcBorders>
              <w:top w:val="nil"/>
            </w:tcBorders>
          </w:tcPr>
          <w:p w:rsidR="009006DC" w:rsidRPr="00B82EBB" w:rsidRDefault="009006DC" w:rsidP="009006DC">
            <w:pPr>
              <w:jc w:val="center"/>
              <w:rPr>
                <w:b/>
                <w:szCs w:val="24"/>
              </w:rPr>
            </w:pPr>
            <w:r w:rsidRPr="00B82EBB">
              <w:rPr>
                <w:b/>
                <w:szCs w:val="24"/>
              </w:rPr>
              <w:t>2</w:t>
            </w:r>
          </w:p>
        </w:tc>
        <w:tc>
          <w:tcPr>
            <w:tcW w:w="540" w:type="dxa"/>
            <w:tcBorders>
              <w:top w:val="nil"/>
            </w:tcBorders>
          </w:tcPr>
          <w:p w:rsidR="009006DC" w:rsidRPr="00B82EBB" w:rsidRDefault="009006DC" w:rsidP="009006DC">
            <w:pPr>
              <w:jc w:val="center"/>
              <w:rPr>
                <w:b/>
                <w:szCs w:val="24"/>
              </w:rPr>
            </w:pPr>
            <w:r w:rsidRPr="00B82EBB">
              <w:rPr>
                <w:b/>
                <w:szCs w:val="24"/>
              </w:rPr>
              <w:t>3</w:t>
            </w:r>
          </w:p>
        </w:tc>
        <w:tc>
          <w:tcPr>
            <w:tcW w:w="540" w:type="dxa"/>
            <w:tcBorders>
              <w:top w:val="nil"/>
            </w:tcBorders>
          </w:tcPr>
          <w:p w:rsidR="009006DC" w:rsidRPr="00B82EBB" w:rsidRDefault="009006DC" w:rsidP="009006DC">
            <w:pPr>
              <w:jc w:val="center"/>
              <w:rPr>
                <w:b/>
                <w:szCs w:val="24"/>
              </w:rPr>
            </w:pPr>
            <w:r w:rsidRPr="00B82EBB">
              <w:rPr>
                <w:b/>
                <w:szCs w:val="24"/>
              </w:rPr>
              <w:t>4</w:t>
            </w:r>
          </w:p>
        </w:tc>
        <w:tc>
          <w:tcPr>
            <w:tcW w:w="630" w:type="dxa"/>
            <w:tcBorders>
              <w:top w:val="nil"/>
            </w:tcBorders>
          </w:tcPr>
          <w:p w:rsidR="009006DC" w:rsidRPr="00B82EBB" w:rsidRDefault="009006DC" w:rsidP="009006DC">
            <w:pPr>
              <w:jc w:val="center"/>
              <w:rPr>
                <w:b/>
                <w:szCs w:val="24"/>
              </w:rPr>
            </w:pPr>
            <w:r w:rsidRPr="00B82EBB">
              <w:rPr>
                <w:b/>
                <w:szCs w:val="24"/>
              </w:rPr>
              <w:t>5</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1.  Does the content </w:t>
            </w:r>
            <w:r w:rsidRPr="00D21879">
              <w:rPr>
                <w:b/>
                <w:szCs w:val="24"/>
              </w:rPr>
              <w:t>appeal to its specified audience</w:t>
            </w:r>
            <w:r w:rsidRPr="00D21879">
              <w:rPr>
                <w:szCs w:val="24"/>
              </w:rPr>
              <w:t>? Does it indicate specific categories of archivists and/or levels of expertise to assist potential participants in determining the workshop's relevance for them?</w:t>
            </w:r>
          </w:p>
          <w:p w:rsidR="009006DC" w:rsidRPr="00D21879" w:rsidRDefault="009006DC" w:rsidP="00064A61">
            <w:pPr>
              <w:rPr>
                <w:szCs w:val="24"/>
              </w:rPr>
            </w:pPr>
            <w:r w:rsidRPr="00D21879">
              <w:rPr>
                <w:szCs w:val="24"/>
              </w:rPr>
              <w:t xml:space="preserve">Comments:  </w:t>
            </w:r>
            <w:r w:rsidR="00535560">
              <w:rPr>
                <w:szCs w:val="24"/>
              </w:rPr>
              <w:t>Yes; it does an excellent job of explaining the background necessary for the course.</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535560" w:rsidP="009006DC">
            <w:pPr>
              <w:rPr>
                <w:szCs w:val="24"/>
              </w:rPr>
            </w:pPr>
            <w:r>
              <w:rPr>
                <w:szCs w:val="24"/>
              </w:rPr>
              <w:t>X</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2. To what extent does the subject matter </w:t>
            </w:r>
            <w:r w:rsidRPr="00D21879">
              <w:rPr>
                <w:b/>
                <w:szCs w:val="24"/>
              </w:rPr>
              <w:t>reflect current archival practices</w:t>
            </w:r>
            <w:r w:rsidRPr="00D21879">
              <w:rPr>
                <w:szCs w:val="24"/>
              </w:rPr>
              <w:t xml:space="preserve"> and theory commonly accepted in the profession?</w:t>
            </w:r>
          </w:p>
          <w:p w:rsidR="009006DC" w:rsidRPr="00D21879" w:rsidRDefault="009006DC" w:rsidP="009006DC">
            <w:pPr>
              <w:rPr>
                <w:szCs w:val="24"/>
              </w:rPr>
            </w:pPr>
            <w:r w:rsidRPr="00D21879">
              <w:rPr>
                <w:szCs w:val="24"/>
              </w:rPr>
              <w:t>Comments:</w:t>
            </w:r>
            <w:r w:rsidR="00535560">
              <w:rPr>
                <w:szCs w:val="24"/>
              </w:rPr>
              <w:t xml:space="preserve"> Still current, but of potentially diminishing relevance in the future, as more repositories move to ArchivesSpace.</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535560" w:rsidP="009006DC">
            <w:pPr>
              <w:rPr>
                <w:szCs w:val="24"/>
              </w:rPr>
            </w:pPr>
            <w:r>
              <w:rPr>
                <w:szCs w:val="24"/>
              </w:rPr>
              <w:t>X</w:t>
            </w:r>
          </w:p>
        </w:tc>
      </w:tr>
      <w:tr w:rsidR="009006DC" w:rsidRPr="00B82EBB" w:rsidTr="00465F4B">
        <w:trPr>
          <w:gridAfter w:val="1"/>
          <w:wAfter w:w="270" w:type="dxa"/>
          <w:trHeight w:val="1214"/>
        </w:trPr>
        <w:tc>
          <w:tcPr>
            <w:tcW w:w="11448" w:type="dxa"/>
            <w:gridSpan w:val="3"/>
          </w:tcPr>
          <w:p w:rsidR="009006DC" w:rsidRPr="00D21879" w:rsidRDefault="009006DC" w:rsidP="009006DC">
            <w:pPr>
              <w:rPr>
                <w:szCs w:val="24"/>
              </w:rPr>
            </w:pPr>
            <w:r>
              <w:rPr>
                <w:szCs w:val="24"/>
              </w:rPr>
              <w:t>3.</w:t>
            </w:r>
            <w:r w:rsidRPr="00D21879">
              <w:rPr>
                <w:szCs w:val="24"/>
              </w:rPr>
              <w:t xml:space="preserve">. How </w:t>
            </w:r>
            <w:r w:rsidRPr="00D21879">
              <w:rPr>
                <w:b/>
                <w:szCs w:val="24"/>
              </w:rPr>
              <w:t>relevant/appropriate are the teaching and delivery methodologies</w:t>
            </w:r>
            <w:r w:rsidRPr="00D21879">
              <w:rPr>
                <w:szCs w:val="24"/>
              </w:rPr>
              <w:t xml:space="preserve"> (lecture, video, PowerPoint, exercises, film, audiotape, discussion, simulation, case study, opportunities for in-course feedback, etc.) to the articulated goals and objectives, and to the content?"</w:t>
            </w:r>
          </w:p>
          <w:p w:rsidR="009006DC" w:rsidRPr="00D21879" w:rsidRDefault="009006DC" w:rsidP="009006DC">
            <w:pPr>
              <w:rPr>
                <w:szCs w:val="24"/>
              </w:rPr>
            </w:pPr>
            <w:r w:rsidRPr="00D21879">
              <w:rPr>
                <w:szCs w:val="24"/>
              </w:rPr>
              <w:t>Comments:</w:t>
            </w:r>
            <w:r w:rsidR="00535560">
              <w:rPr>
                <w:szCs w:val="24"/>
              </w:rPr>
              <w:t xml:space="preserve"> Should provide students the opportunity to bring an electronic version of DACS for the course, rather than just print. The workbook is absolutely exemplary.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535560" w:rsidP="009006DC">
            <w:pPr>
              <w:rPr>
                <w:szCs w:val="24"/>
              </w:rPr>
            </w:pPr>
            <w:r>
              <w:rPr>
                <w:szCs w:val="24"/>
              </w:rPr>
              <w:t>X</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Pr>
                <w:szCs w:val="24"/>
              </w:rPr>
              <w:t>4</w:t>
            </w:r>
            <w:r w:rsidRPr="00D21879">
              <w:rPr>
                <w:szCs w:val="24"/>
              </w:rPr>
              <w:t xml:space="preserve">. How workable is the </w:t>
            </w:r>
            <w:r w:rsidRPr="00D21879">
              <w:rPr>
                <w:b/>
                <w:szCs w:val="24"/>
              </w:rPr>
              <w:t xml:space="preserve">time line </w:t>
            </w:r>
            <w:r w:rsidRPr="00D21879">
              <w:rPr>
                <w:szCs w:val="24"/>
              </w:rPr>
              <w:t>or</w:t>
            </w:r>
            <w:r w:rsidRPr="00D21879">
              <w:rPr>
                <w:b/>
                <w:szCs w:val="24"/>
              </w:rPr>
              <w:t xml:space="preserve"> agenda </w:t>
            </w:r>
            <w:r w:rsidRPr="00D21879">
              <w:rPr>
                <w:szCs w:val="24"/>
              </w:rPr>
              <w:t>for the course?  Is there sufficient detail to indicate how the workshop will evolve? Does it allow sufficient time for active engagement between course participants and the instructor(s)?</w:t>
            </w:r>
          </w:p>
          <w:p w:rsidR="009006DC" w:rsidRPr="00D21879" w:rsidRDefault="00535560" w:rsidP="009006DC">
            <w:pPr>
              <w:rPr>
                <w:szCs w:val="24"/>
              </w:rPr>
            </w:pPr>
            <w:r>
              <w:rPr>
                <w:szCs w:val="24"/>
              </w:rPr>
              <w:t>Comments: Excellent.</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535560" w:rsidP="009006DC">
            <w:pPr>
              <w:rPr>
                <w:szCs w:val="24"/>
              </w:rPr>
            </w:pPr>
            <w:r>
              <w:rPr>
                <w:szCs w:val="24"/>
              </w:rPr>
              <w:t>X</w:t>
            </w:r>
          </w:p>
        </w:tc>
      </w:tr>
      <w:tr w:rsidR="009006DC" w:rsidRPr="00B82EBB" w:rsidTr="00465F4B">
        <w:trPr>
          <w:gridAfter w:val="1"/>
          <w:wAfter w:w="270" w:type="dxa"/>
        </w:trPr>
        <w:tc>
          <w:tcPr>
            <w:tcW w:w="11448" w:type="dxa"/>
            <w:gridSpan w:val="3"/>
          </w:tcPr>
          <w:p w:rsidR="009006DC" w:rsidRPr="00D21879" w:rsidRDefault="009006DC" w:rsidP="009006DC">
            <w:pPr>
              <w:tabs>
                <w:tab w:val="left" w:pos="3690"/>
              </w:tabs>
              <w:rPr>
                <w:szCs w:val="24"/>
              </w:rPr>
            </w:pPr>
            <w:r>
              <w:rPr>
                <w:szCs w:val="24"/>
              </w:rPr>
              <w:t>5</w:t>
            </w:r>
            <w:r w:rsidRPr="00D21879">
              <w:rPr>
                <w:szCs w:val="24"/>
              </w:rPr>
              <w:t xml:space="preserve">. To what degree does the </w:t>
            </w:r>
            <w:r w:rsidRPr="00D21879">
              <w:rPr>
                <w:b/>
                <w:szCs w:val="24"/>
              </w:rPr>
              <w:t>list of assigned readings</w:t>
            </w:r>
            <w:r w:rsidRPr="00D21879">
              <w:rPr>
                <w:szCs w:val="24"/>
              </w:rPr>
              <w:t xml:space="preserve"> support the content of the proposal?</w:t>
            </w:r>
          </w:p>
          <w:p w:rsidR="009006DC" w:rsidRPr="00D21879" w:rsidRDefault="009006DC" w:rsidP="009006DC">
            <w:pPr>
              <w:rPr>
                <w:szCs w:val="24"/>
              </w:rPr>
            </w:pPr>
            <w:r w:rsidRPr="00D21879">
              <w:rPr>
                <w:szCs w:val="24"/>
              </w:rPr>
              <w:t xml:space="preserve">Comments: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535560" w:rsidP="009006DC">
            <w:pPr>
              <w:rPr>
                <w:szCs w:val="24"/>
              </w:rPr>
            </w:pPr>
            <w:r>
              <w:rPr>
                <w:szCs w:val="24"/>
              </w:rPr>
              <w:t>X</w:t>
            </w:r>
          </w:p>
        </w:tc>
      </w:tr>
      <w:tr w:rsidR="009006DC" w:rsidRPr="00B82EBB" w:rsidTr="00465F4B">
        <w:trPr>
          <w:gridAfter w:val="1"/>
          <w:wAfter w:w="270" w:type="dxa"/>
        </w:trPr>
        <w:tc>
          <w:tcPr>
            <w:tcW w:w="11448" w:type="dxa"/>
            <w:gridSpan w:val="3"/>
          </w:tcPr>
          <w:p w:rsidR="009006DC" w:rsidRDefault="009006DC" w:rsidP="00465F4B">
            <w:pPr>
              <w:tabs>
                <w:tab w:val="left" w:pos="3690"/>
              </w:tabs>
              <w:rPr>
                <w:szCs w:val="24"/>
              </w:rPr>
            </w:pPr>
            <w:r>
              <w:rPr>
                <w:szCs w:val="24"/>
              </w:rPr>
              <w:lastRenderedPageBreak/>
              <w:t>6</w:t>
            </w:r>
            <w:r w:rsidRPr="00D21879">
              <w:rPr>
                <w:szCs w:val="24"/>
              </w:rPr>
              <w:t>. Does the presentation support the Learning Outcomes</w:t>
            </w:r>
            <w:r>
              <w:rPr>
                <w:szCs w:val="24"/>
              </w:rPr>
              <w:t xml:space="preserve"> in the descriptions</w:t>
            </w:r>
            <w:r w:rsidRPr="00D21879">
              <w:rPr>
                <w:szCs w:val="24"/>
              </w:rPr>
              <w:t>?</w:t>
            </w:r>
          </w:p>
          <w:p w:rsidR="00465F4B" w:rsidRPr="00D21879" w:rsidRDefault="00465F4B" w:rsidP="00465F4B">
            <w:pPr>
              <w:tabs>
                <w:tab w:val="left" w:pos="3690"/>
              </w:tabs>
              <w:rPr>
                <w:szCs w:val="24"/>
              </w:rPr>
            </w:pPr>
            <w:r>
              <w:rPr>
                <w:szCs w:val="24"/>
              </w:rPr>
              <w:t>Comments:</w:t>
            </w:r>
            <w:r w:rsidR="00535560">
              <w:rPr>
                <w:szCs w:val="24"/>
              </w:rPr>
              <w:t xml:space="preserve"> Yes; excellent.</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535560" w:rsidP="009006DC">
            <w:pPr>
              <w:rPr>
                <w:szCs w:val="24"/>
              </w:rPr>
            </w:pPr>
            <w:r>
              <w:rPr>
                <w:szCs w:val="24"/>
              </w:rPr>
              <w:t>X</w:t>
            </w: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rsidR="009006DC" w:rsidRPr="00465F4B" w:rsidRDefault="00465F4B" w:rsidP="001E4DD9">
            <w:pPr>
              <w:rPr>
                <w:b/>
                <w:sz w:val="40"/>
                <w:szCs w:val="40"/>
              </w:rPr>
            </w:pPr>
            <w:r w:rsidRPr="00465F4B">
              <w:rPr>
                <w:b/>
                <w:sz w:val="40"/>
                <w:szCs w:val="40"/>
              </w:rPr>
              <w:t>A&amp;D Track Considerations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rPr>
                <w:sz w:val="22"/>
                <w:szCs w:val="22"/>
              </w:rPr>
            </w:pPr>
            <w:r>
              <w:rPr>
                <w:sz w:val="22"/>
                <w:szCs w:val="22"/>
              </w:rPr>
              <w:t>1.</w:t>
            </w:r>
            <w:r w:rsidRPr="00941324">
              <w:rPr>
                <w:sz w:val="22"/>
                <w:szCs w:val="22"/>
              </w:rPr>
              <w:t xml:space="preserve">Does this content bridge, enhance, and/or build on other workshops  (If so, please name) </w:t>
            </w:r>
          </w:p>
        </w:tc>
        <w:tc>
          <w:tcPr>
            <w:tcW w:w="11430" w:type="dxa"/>
            <w:gridSpan w:val="7"/>
            <w:tcMar>
              <w:left w:w="0" w:type="dxa"/>
              <w:right w:w="0" w:type="dxa"/>
            </w:tcMar>
          </w:tcPr>
          <w:p w:rsidR="00941324" w:rsidRDefault="008432BA" w:rsidP="008578C2">
            <w:r>
              <w:t xml:space="preserve"> Yes,</w:t>
            </w:r>
            <w:r w:rsidR="00535560">
              <w:t xml:space="preserve"> </w:t>
            </w:r>
            <w:r w:rsidR="008578C2">
              <w:t xml:space="preserve">it explicitly </w:t>
            </w:r>
            <w:r w:rsidR="00535560">
              <w:t xml:space="preserve">builds on the DACS course. </w:t>
            </w:r>
            <w:r w:rsidR="008578C2">
              <w:t>It also has the potential to enhance other A&amp;D classes, including Arrangement and Description of Manuscript Collections and Managing Literary Manuscripts.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jc w:val="both"/>
              <w:rPr>
                <w:sz w:val="22"/>
                <w:szCs w:val="22"/>
              </w:rPr>
            </w:pPr>
            <w:r>
              <w:rPr>
                <w:sz w:val="22"/>
                <w:szCs w:val="22"/>
              </w:rPr>
              <w:t>2.</w:t>
            </w:r>
            <w:r w:rsidRPr="00941324">
              <w:rPr>
                <w:sz w:val="22"/>
                <w:szCs w:val="22"/>
              </w:rPr>
              <w:t>Does this build on other workshops not on the list</w:t>
            </w:r>
            <w:r>
              <w:rPr>
                <w:sz w:val="22"/>
                <w:szCs w:val="22"/>
              </w:rPr>
              <w:t>?</w:t>
            </w:r>
          </w:p>
        </w:tc>
        <w:tc>
          <w:tcPr>
            <w:tcW w:w="11430" w:type="dxa"/>
            <w:gridSpan w:val="7"/>
            <w:tcMar>
              <w:left w:w="0" w:type="dxa"/>
              <w:right w:w="0" w:type="dxa"/>
            </w:tcMar>
          </w:tcPr>
          <w:p w:rsidR="00941324" w:rsidRDefault="00535560" w:rsidP="008578C2">
            <w:r>
              <w:t xml:space="preserve"> </w:t>
            </w:r>
            <w:r w:rsidR="008578C2">
              <w:t>Archival Content Management Systems, and some potential tie-in with digital curation courses.</w:t>
            </w:r>
          </w:p>
        </w:tc>
      </w:tr>
      <w:tr w:rsidR="00294A9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294A94" w:rsidRPr="00941324" w:rsidRDefault="00941324" w:rsidP="001E4DD9">
            <w:pPr>
              <w:jc w:val="both"/>
              <w:rPr>
                <w:color w:val="000000"/>
                <w:sz w:val="22"/>
                <w:szCs w:val="22"/>
              </w:rPr>
            </w:pPr>
            <w:r>
              <w:rPr>
                <w:sz w:val="22"/>
                <w:szCs w:val="22"/>
              </w:rPr>
              <w:t>3</w:t>
            </w:r>
            <w:r w:rsidR="00294A94" w:rsidRPr="00941324">
              <w:rPr>
                <w:sz w:val="22"/>
                <w:szCs w:val="22"/>
              </w:rPr>
              <w:t xml:space="preserve"> Should this be part of the A&amp;D Track?</w:t>
            </w:r>
          </w:p>
        </w:tc>
        <w:tc>
          <w:tcPr>
            <w:tcW w:w="11430" w:type="dxa"/>
            <w:gridSpan w:val="7"/>
            <w:tcMar>
              <w:left w:w="0" w:type="dxa"/>
              <w:right w:w="0" w:type="dxa"/>
            </w:tcMar>
          </w:tcPr>
          <w:p w:rsidR="00294A94" w:rsidRDefault="008578C2" w:rsidP="001325FE">
            <w:r>
              <w:t xml:space="preserve"> Yes.</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1E4DD9" w:rsidRPr="00941324" w:rsidRDefault="00941324" w:rsidP="00941324">
            <w:pPr>
              <w:jc w:val="both"/>
              <w:rPr>
                <w:color w:val="000000"/>
                <w:sz w:val="22"/>
                <w:szCs w:val="22"/>
              </w:rPr>
            </w:pPr>
            <w:r>
              <w:rPr>
                <w:color w:val="000000"/>
                <w:sz w:val="22"/>
                <w:szCs w:val="22"/>
              </w:rPr>
              <w:t>4.</w:t>
            </w:r>
            <w:r w:rsidR="001E4DD9" w:rsidRPr="00941324">
              <w:rPr>
                <w:color w:val="000000"/>
                <w:sz w:val="22"/>
                <w:szCs w:val="22"/>
              </w:rPr>
              <w:t xml:space="preserve">Where </w:t>
            </w:r>
            <w:r w:rsidR="00445E46" w:rsidRPr="00941324">
              <w:rPr>
                <w:color w:val="000000"/>
                <w:sz w:val="22"/>
                <w:szCs w:val="22"/>
              </w:rPr>
              <w:t>would</w:t>
            </w:r>
            <w:r w:rsidR="001E4DD9" w:rsidRPr="00941324">
              <w:rPr>
                <w:color w:val="000000"/>
                <w:sz w:val="22"/>
                <w:szCs w:val="22"/>
              </w:rPr>
              <w:t xml:space="preserve"> this workshop fall in the sequence of </w:t>
            </w:r>
            <w:r w:rsidR="00A5505B" w:rsidRPr="00941324">
              <w:rPr>
                <w:color w:val="000000"/>
                <w:sz w:val="22"/>
                <w:szCs w:val="22"/>
              </w:rPr>
              <w:t xml:space="preserve">an A&amp;D </w:t>
            </w:r>
            <w:r w:rsidR="001E4DD9" w:rsidRPr="00941324">
              <w:rPr>
                <w:color w:val="000000"/>
                <w:sz w:val="22"/>
                <w:szCs w:val="22"/>
              </w:rPr>
              <w:t xml:space="preserve"> track?</w:t>
            </w:r>
          </w:p>
        </w:tc>
        <w:tc>
          <w:tcPr>
            <w:tcW w:w="11430" w:type="dxa"/>
            <w:gridSpan w:val="7"/>
            <w:tcMar>
              <w:left w:w="0" w:type="dxa"/>
              <w:right w:w="0" w:type="dxa"/>
            </w:tcMar>
          </w:tcPr>
          <w:p w:rsidR="005C53E1" w:rsidRDefault="008578C2" w:rsidP="008432BA">
            <w:r>
              <w:t xml:space="preserve"> It should be early in the sequence. </w:t>
            </w:r>
            <w:r w:rsidR="008432BA">
              <w:t>Note, though, that t</w:t>
            </w:r>
            <w:r>
              <w:t xml:space="preserve">his class is </w:t>
            </w:r>
            <w:r w:rsidR="008432BA">
              <w:t xml:space="preserve">especially </w:t>
            </w:r>
            <w:r>
              <w:t xml:space="preserve">compelling because it provides both an introductory view of AT and the resources for further expertise. </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40209A">
            <w:pPr>
              <w:rPr>
                <w:color w:val="000000"/>
                <w:sz w:val="22"/>
                <w:szCs w:val="22"/>
              </w:rPr>
            </w:pPr>
            <w:r>
              <w:rPr>
                <w:color w:val="000000"/>
                <w:sz w:val="22"/>
                <w:szCs w:val="22"/>
              </w:rPr>
              <w:t>Why?</w:t>
            </w:r>
          </w:p>
        </w:tc>
        <w:tc>
          <w:tcPr>
            <w:tcW w:w="11430" w:type="dxa"/>
            <w:gridSpan w:val="7"/>
            <w:tcMar>
              <w:left w:w="0" w:type="dxa"/>
              <w:right w:w="0" w:type="dxa"/>
            </w:tcMar>
          </w:tcPr>
          <w:p w:rsidR="00941324" w:rsidRDefault="008578C2" w:rsidP="001E4DD9">
            <w:pPr>
              <w:rPr>
                <w:sz w:val="20"/>
              </w:rPr>
            </w:pPr>
            <w:r>
              <w:rPr>
                <w:sz w:val="20"/>
              </w:rPr>
              <w:t xml:space="preserve"> Archival content management systems are a foundational component of the archival practice.</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40209A">
            <w:pPr>
              <w:rPr>
                <w:sz w:val="22"/>
                <w:szCs w:val="22"/>
              </w:rPr>
            </w:pPr>
            <w:r>
              <w:rPr>
                <w:color w:val="000000"/>
                <w:sz w:val="22"/>
                <w:szCs w:val="22"/>
              </w:rPr>
              <w:t>5</w:t>
            </w:r>
            <w:r w:rsidR="00946939" w:rsidRPr="00941324">
              <w:rPr>
                <w:color w:val="000000"/>
                <w:sz w:val="22"/>
                <w:szCs w:val="22"/>
              </w:rPr>
              <w:t xml:space="preserve">. </w:t>
            </w:r>
            <w:r w:rsidR="00445E46" w:rsidRPr="00941324">
              <w:rPr>
                <w:color w:val="000000"/>
                <w:sz w:val="22"/>
                <w:szCs w:val="22"/>
              </w:rPr>
              <w:t>What tier does this works</w:t>
            </w:r>
            <w:r w:rsidR="0040209A" w:rsidRPr="00941324">
              <w:rPr>
                <w:color w:val="000000"/>
                <w:sz w:val="22"/>
                <w:szCs w:val="22"/>
              </w:rPr>
              <w:t>hop fall in?  (See attached tiers)</w:t>
            </w:r>
          </w:p>
        </w:tc>
        <w:tc>
          <w:tcPr>
            <w:tcW w:w="11430" w:type="dxa"/>
            <w:gridSpan w:val="7"/>
            <w:tcMar>
              <w:left w:w="0" w:type="dxa"/>
              <w:right w:w="0" w:type="dxa"/>
            </w:tcMar>
          </w:tcPr>
          <w:p w:rsidR="005C53E1" w:rsidRDefault="005C53E1" w:rsidP="001E4DD9"/>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1E4DD9">
            <w:pPr>
              <w:rPr>
                <w:sz w:val="22"/>
                <w:szCs w:val="22"/>
              </w:rPr>
            </w:pPr>
            <w:r>
              <w:rPr>
                <w:color w:val="000000"/>
                <w:sz w:val="22"/>
                <w:szCs w:val="22"/>
              </w:rPr>
              <w:t>6</w:t>
            </w:r>
            <w:r w:rsidR="00946939" w:rsidRPr="00941324">
              <w:rPr>
                <w:color w:val="000000"/>
                <w:sz w:val="22"/>
                <w:szCs w:val="22"/>
              </w:rPr>
              <w:t xml:space="preserve">. </w:t>
            </w:r>
            <w:r w:rsidR="005C53E1" w:rsidRPr="00941324">
              <w:rPr>
                <w:color w:val="000000"/>
                <w:sz w:val="22"/>
                <w:szCs w:val="22"/>
              </w:rPr>
              <w:t>Target Audience</w:t>
            </w:r>
          </w:p>
        </w:tc>
        <w:tc>
          <w:tcPr>
            <w:tcW w:w="11430" w:type="dxa"/>
            <w:gridSpan w:val="7"/>
            <w:tcMar>
              <w:left w:w="0" w:type="dxa"/>
              <w:right w:w="0" w:type="dxa"/>
            </w:tcMar>
          </w:tcPr>
          <w:p w:rsidR="005C53E1" w:rsidRDefault="008578C2" w:rsidP="001E4DD9">
            <w:r>
              <w:rPr>
                <w:sz w:val="20"/>
              </w:rPr>
              <w:t xml:space="preserve"> Archival practitioners of all varieties.</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4BBE" w:rsidRPr="00941324" w:rsidRDefault="00941324" w:rsidP="00944BBE">
            <w:pPr>
              <w:rPr>
                <w:sz w:val="22"/>
                <w:szCs w:val="22"/>
              </w:rPr>
            </w:pPr>
            <w:r>
              <w:rPr>
                <w:sz w:val="22"/>
                <w:szCs w:val="22"/>
              </w:rPr>
              <w:t>7</w:t>
            </w:r>
            <w:r w:rsidR="00946939" w:rsidRPr="00941324">
              <w:rPr>
                <w:sz w:val="22"/>
                <w:szCs w:val="22"/>
              </w:rPr>
              <w:t xml:space="preserve">. </w:t>
            </w:r>
            <w:r w:rsidR="00944BBE" w:rsidRPr="00941324">
              <w:rPr>
                <w:sz w:val="22"/>
                <w:szCs w:val="22"/>
              </w:rPr>
              <w:t>Is the suggested prior “experience/knowledge</w:t>
            </w:r>
            <w:r>
              <w:rPr>
                <w:sz w:val="22"/>
                <w:szCs w:val="22"/>
              </w:rPr>
              <w:t>”</w:t>
            </w:r>
            <w:r w:rsidR="00944BBE" w:rsidRPr="00941324">
              <w:rPr>
                <w:sz w:val="22"/>
                <w:szCs w:val="22"/>
              </w:rPr>
              <w:t xml:space="preserve"> appropriate?</w:t>
            </w:r>
          </w:p>
        </w:tc>
        <w:tc>
          <w:tcPr>
            <w:tcW w:w="11430" w:type="dxa"/>
            <w:gridSpan w:val="7"/>
            <w:tcMar>
              <w:left w:w="0" w:type="dxa"/>
              <w:right w:w="0" w:type="dxa"/>
            </w:tcMar>
          </w:tcPr>
          <w:p w:rsidR="005C53E1" w:rsidRDefault="007E6889" w:rsidP="005C53E1">
            <w:r>
              <w:rPr>
                <w:sz w:val="20"/>
              </w:rPr>
              <w:t>Yes.</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Default="00941324" w:rsidP="001E4DD9">
            <w:pPr>
              <w:rPr>
                <w:color w:val="000000"/>
                <w:sz w:val="22"/>
                <w:szCs w:val="22"/>
              </w:rPr>
            </w:pPr>
            <w:r>
              <w:rPr>
                <w:color w:val="000000"/>
                <w:sz w:val="22"/>
                <w:szCs w:val="22"/>
              </w:rPr>
              <w:t>8</w:t>
            </w:r>
            <w:r w:rsidR="00946939" w:rsidRPr="00941324">
              <w:rPr>
                <w:color w:val="000000"/>
                <w:sz w:val="22"/>
                <w:szCs w:val="22"/>
              </w:rPr>
              <w:t xml:space="preserve">. </w:t>
            </w:r>
            <w:r w:rsidR="005C53E1" w:rsidRPr="00941324">
              <w:rPr>
                <w:color w:val="000000"/>
                <w:sz w:val="22"/>
                <w:szCs w:val="22"/>
              </w:rPr>
              <w:t>Learning Outcomes</w:t>
            </w:r>
            <w:r w:rsidR="0040209A" w:rsidRPr="00941324">
              <w:rPr>
                <w:color w:val="000000"/>
                <w:sz w:val="22"/>
                <w:szCs w:val="22"/>
              </w:rPr>
              <w:t xml:space="preserve">:  </w:t>
            </w:r>
          </w:p>
          <w:p w:rsidR="00014D40" w:rsidRPr="00941324" w:rsidRDefault="0040209A" w:rsidP="001E4DD9">
            <w:pPr>
              <w:rPr>
                <w:color w:val="000000"/>
                <w:sz w:val="22"/>
                <w:szCs w:val="22"/>
              </w:rPr>
            </w:pPr>
            <w:r w:rsidRPr="00941324">
              <w:rPr>
                <w:color w:val="000000"/>
                <w:sz w:val="22"/>
                <w:szCs w:val="22"/>
              </w:rPr>
              <w:t>Are they appropriate</w:t>
            </w:r>
            <w:r w:rsidR="00941324">
              <w:rPr>
                <w:color w:val="000000"/>
                <w:sz w:val="22"/>
                <w:szCs w:val="22"/>
              </w:rPr>
              <w:t xml:space="preserve"> and/or </w:t>
            </w:r>
            <w:r w:rsidR="00014D40" w:rsidRPr="00941324">
              <w:rPr>
                <w:color w:val="000000"/>
                <w:sz w:val="22"/>
                <w:szCs w:val="22"/>
              </w:rPr>
              <w:t>relevant</w:t>
            </w:r>
            <w:r w:rsidRPr="00941324">
              <w:rPr>
                <w:color w:val="000000"/>
                <w:sz w:val="22"/>
                <w:szCs w:val="22"/>
              </w:rPr>
              <w:t xml:space="preserve">?  </w:t>
            </w:r>
          </w:p>
        </w:tc>
        <w:tc>
          <w:tcPr>
            <w:tcW w:w="11430" w:type="dxa"/>
            <w:gridSpan w:val="7"/>
            <w:tcMar>
              <w:left w:w="0" w:type="dxa"/>
              <w:right w:w="0" w:type="dxa"/>
            </w:tcMar>
          </w:tcPr>
          <w:p w:rsidR="007E6889" w:rsidRPr="007E6889" w:rsidRDefault="005C53E1" w:rsidP="008432BA">
            <w:pPr>
              <w:spacing w:after="60" w:line="249" w:lineRule="atLeast"/>
              <w:ind w:left="360"/>
              <w:rPr>
                <w:sz w:val="20"/>
              </w:rPr>
            </w:pPr>
            <w:r w:rsidRPr="007E6889">
              <w:rPr>
                <w:sz w:val="20"/>
              </w:rPr>
              <w:t>List of specific, measurable, and actionable outcomes that each person should be able to do (e.g. discuss, explain, evaluate, d</w:t>
            </w:r>
            <w:r w:rsidR="007E6889" w:rsidRPr="007E6889">
              <w:rPr>
                <w:sz w:val="20"/>
              </w:rPr>
              <w:t>esign) by the end of the course:</w:t>
            </w:r>
          </w:p>
          <w:p w:rsidR="007E6889" w:rsidRPr="007E6889" w:rsidRDefault="007E6889" w:rsidP="007E6889">
            <w:pPr>
              <w:numPr>
                <w:ilvl w:val="0"/>
                <w:numId w:val="10"/>
              </w:numPr>
              <w:spacing w:after="60" w:line="249" w:lineRule="atLeast"/>
              <w:ind w:left="360"/>
              <w:rPr>
                <w:sz w:val="20"/>
              </w:rPr>
            </w:pPr>
            <w:r w:rsidRPr="007E6889">
              <w:rPr>
                <w:sz w:val="20"/>
              </w:rPr>
              <w:t>Create accession descriptions; Yes</w:t>
            </w:r>
          </w:p>
          <w:p w:rsidR="007E6889" w:rsidRPr="007E6889" w:rsidRDefault="007E6889" w:rsidP="007E6889">
            <w:pPr>
              <w:numPr>
                <w:ilvl w:val="0"/>
                <w:numId w:val="10"/>
              </w:numPr>
              <w:spacing w:after="60" w:line="249" w:lineRule="atLeast"/>
              <w:ind w:left="360"/>
              <w:rPr>
                <w:sz w:val="20"/>
              </w:rPr>
            </w:pPr>
            <w:r w:rsidRPr="007E6889">
              <w:rPr>
                <w:sz w:val="20"/>
              </w:rPr>
              <w:t>Create resource descriptions for collections and collection components; Yes</w:t>
            </w:r>
          </w:p>
          <w:p w:rsidR="007E6889" w:rsidRPr="007E6889" w:rsidRDefault="007E6889" w:rsidP="007E6889">
            <w:pPr>
              <w:numPr>
                <w:ilvl w:val="0"/>
                <w:numId w:val="10"/>
              </w:numPr>
              <w:spacing w:after="60" w:line="249" w:lineRule="atLeast"/>
              <w:ind w:left="360"/>
              <w:rPr>
                <w:sz w:val="20"/>
              </w:rPr>
            </w:pPr>
            <w:r w:rsidRPr="007E6889">
              <w:rPr>
                <w:sz w:val="20"/>
              </w:rPr>
              <w:t>Create and manage name and subject authorities and link them to accession and resource descriptions; Yes</w:t>
            </w:r>
          </w:p>
          <w:p w:rsidR="007E6889" w:rsidRPr="007E6889" w:rsidRDefault="007E6889" w:rsidP="007E6889">
            <w:pPr>
              <w:numPr>
                <w:ilvl w:val="0"/>
                <w:numId w:val="10"/>
              </w:numPr>
              <w:spacing w:after="60" w:line="249" w:lineRule="atLeast"/>
              <w:ind w:left="360"/>
              <w:rPr>
                <w:sz w:val="20"/>
              </w:rPr>
            </w:pPr>
            <w:r w:rsidRPr="007E6889">
              <w:rPr>
                <w:sz w:val="20"/>
              </w:rPr>
              <w:t>Record and manage physical locations within a repository; Yes</w:t>
            </w:r>
          </w:p>
          <w:p w:rsidR="007E6889" w:rsidRPr="007E6889" w:rsidRDefault="007E6889" w:rsidP="007E6889">
            <w:pPr>
              <w:numPr>
                <w:ilvl w:val="0"/>
                <w:numId w:val="10"/>
              </w:numPr>
              <w:spacing w:after="60" w:line="249" w:lineRule="atLeast"/>
              <w:ind w:left="360"/>
              <w:rPr>
                <w:sz w:val="20"/>
              </w:rPr>
            </w:pPr>
            <w:r w:rsidRPr="007E6889">
              <w:rPr>
                <w:sz w:val="20"/>
              </w:rPr>
              <w:t>Produce description output files in standardized data structures such as EAD and MARCXML; Yes</w:t>
            </w:r>
          </w:p>
          <w:p w:rsidR="007E6889" w:rsidRPr="007E6889" w:rsidRDefault="007E6889" w:rsidP="007E6889">
            <w:pPr>
              <w:numPr>
                <w:ilvl w:val="0"/>
                <w:numId w:val="10"/>
              </w:numPr>
              <w:spacing w:after="60" w:line="249" w:lineRule="atLeast"/>
              <w:ind w:left="360"/>
              <w:rPr>
                <w:sz w:val="20"/>
              </w:rPr>
            </w:pPr>
            <w:r w:rsidRPr="007E6889">
              <w:rPr>
                <w:sz w:val="20"/>
              </w:rPr>
              <w:t>Produce administrative reports; Yes</w:t>
            </w:r>
          </w:p>
          <w:p w:rsidR="007E6889" w:rsidRPr="007E6889" w:rsidRDefault="007E6889" w:rsidP="007E6889">
            <w:pPr>
              <w:numPr>
                <w:ilvl w:val="0"/>
                <w:numId w:val="10"/>
              </w:numPr>
              <w:spacing w:after="60" w:line="249" w:lineRule="atLeast"/>
              <w:ind w:left="360"/>
              <w:rPr>
                <w:sz w:val="20"/>
              </w:rPr>
            </w:pPr>
            <w:r w:rsidRPr="007E6889">
              <w:rPr>
                <w:sz w:val="20"/>
              </w:rPr>
              <w:t>Import legacy data and perform data cleanup tasks; Yes</w:t>
            </w:r>
          </w:p>
          <w:p w:rsidR="007E6889" w:rsidRPr="007E6889" w:rsidRDefault="007E6889" w:rsidP="007E6889">
            <w:pPr>
              <w:numPr>
                <w:ilvl w:val="0"/>
                <w:numId w:val="10"/>
              </w:numPr>
              <w:spacing w:after="60" w:line="249" w:lineRule="atLeast"/>
              <w:ind w:left="360"/>
              <w:rPr>
                <w:sz w:val="20"/>
              </w:rPr>
            </w:pPr>
            <w:r w:rsidRPr="007E6889">
              <w:rPr>
                <w:sz w:val="20"/>
              </w:rPr>
              <w:t>Become more familiar with DACS and how to use it, where applicable, to determine the kind and form of data recorded in the Archivists' Toolkit™; Yes</w:t>
            </w:r>
          </w:p>
          <w:p w:rsidR="007E6889" w:rsidRPr="007E6889" w:rsidRDefault="007E6889" w:rsidP="007E6889">
            <w:pPr>
              <w:numPr>
                <w:ilvl w:val="0"/>
                <w:numId w:val="10"/>
              </w:numPr>
              <w:spacing w:after="60" w:line="249" w:lineRule="atLeast"/>
              <w:ind w:left="360"/>
              <w:rPr>
                <w:sz w:val="20"/>
              </w:rPr>
            </w:pPr>
            <w:r w:rsidRPr="007E6889">
              <w:rPr>
                <w:sz w:val="20"/>
              </w:rPr>
              <w:t>Understand technical and administrative issues relevant to setting up and managing an Archivists' Toolkit™ instance at your repository. Yes</w:t>
            </w:r>
          </w:p>
          <w:p w:rsidR="005C53E1" w:rsidRDefault="005C53E1" w:rsidP="001E4DD9"/>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941324">
            <w:pPr>
              <w:rPr>
                <w:color w:val="000000"/>
                <w:sz w:val="22"/>
                <w:szCs w:val="22"/>
              </w:rPr>
            </w:pPr>
            <w:r>
              <w:rPr>
                <w:color w:val="000000"/>
                <w:sz w:val="22"/>
                <w:szCs w:val="22"/>
              </w:rPr>
              <w:t xml:space="preserve">9. </w:t>
            </w:r>
            <w:r w:rsidRPr="00941324">
              <w:rPr>
                <w:color w:val="000000"/>
                <w:sz w:val="22"/>
                <w:szCs w:val="22"/>
              </w:rPr>
              <w:t>What should they be?</w:t>
            </w:r>
          </w:p>
          <w:p w:rsidR="00941324" w:rsidRPr="00941324" w:rsidRDefault="00941324" w:rsidP="00946939">
            <w:pPr>
              <w:rPr>
                <w:color w:val="000000"/>
                <w:sz w:val="22"/>
                <w:szCs w:val="22"/>
              </w:rPr>
            </w:pPr>
            <w:r>
              <w:rPr>
                <w:color w:val="000000"/>
                <w:sz w:val="22"/>
                <w:szCs w:val="22"/>
              </w:rPr>
              <w:t>Please list learning outcomes.</w:t>
            </w:r>
          </w:p>
        </w:tc>
        <w:tc>
          <w:tcPr>
            <w:tcW w:w="11430" w:type="dxa"/>
            <w:gridSpan w:val="7"/>
            <w:tcMar>
              <w:left w:w="0" w:type="dxa"/>
              <w:right w:w="0" w:type="dxa"/>
            </w:tcMar>
          </w:tcPr>
          <w:p w:rsidR="00941324" w:rsidRDefault="007E6889" w:rsidP="00946939">
            <w:pPr>
              <w:rPr>
                <w:sz w:val="20"/>
              </w:rPr>
            </w:pPr>
            <w:r>
              <w:rPr>
                <w:sz w:val="20"/>
              </w:rPr>
              <w:t xml:space="preserve"> The above objectives are very appropriate.</w:t>
            </w: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006DC" w:rsidRDefault="009006DC" w:rsidP="00941324">
            <w:pPr>
              <w:rPr>
                <w:color w:val="000000"/>
                <w:sz w:val="22"/>
                <w:szCs w:val="22"/>
              </w:rPr>
            </w:pPr>
            <w:r>
              <w:rPr>
                <w:szCs w:val="24"/>
              </w:rPr>
              <w:t xml:space="preserve">10. Can you make suggestions </w:t>
            </w:r>
            <w:r>
              <w:rPr>
                <w:szCs w:val="24"/>
              </w:rPr>
              <w:lastRenderedPageBreak/>
              <w:t xml:space="preserve">for competencies this workshop would fulfill? </w:t>
            </w:r>
          </w:p>
        </w:tc>
        <w:tc>
          <w:tcPr>
            <w:tcW w:w="11430" w:type="dxa"/>
            <w:gridSpan w:val="7"/>
            <w:tcMar>
              <w:left w:w="0" w:type="dxa"/>
              <w:right w:w="0" w:type="dxa"/>
            </w:tcMar>
          </w:tcPr>
          <w:p w:rsidR="009006DC" w:rsidRDefault="007E6889" w:rsidP="00946939">
            <w:pPr>
              <w:rPr>
                <w:sz w:val="20"/>
              </w:rPr>
            </w:pPr>
            <w:r>
              <w:rPr>
                <w:sz w:val="20"/>
              </w:rPr>
              <w:lastRenderedPageBreak/>
              <w:t xml:space="preserve"> Content management; arrangement and description; possibly digital preservation (with the digital objects module). </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941324">
            <w:pPr>
              <w:rPr>
                <w:sz w:val="22"/>
                <w:szCs w:val="22"/>
              </w:rPr>
            </w:pPr>
            <w:r>
              <w:rPr>
                <w:color w:val="000000"/>
                <w:sz w:val="22"/>
                <w:szCs w:val="22"/>
              </w:rPr>
              <w:lastRenderedPageBreak/>
              <w:t>11</w:t>
            </w:r>
            <w:r w:rsidR="00946939" w:rsidRPr="00941324">
              <w:rPr>
                <w:color w:val="000000"/>
                <w:sz w:val="22"/>
                <w:szCs w:val="22"/>
              </w:rPr>
              <w:t xml:space="preserve">. Would parts of the content lend themselves to a different format? </w:t>
            </w:r>
          </w:p>
        </w:tc>
        <w:tc>
          <w:tcPr>
            <w:tcW w:w="11430" w:type="dxa"/>
            <w:gridSpan w:val="7"/>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946939" w:rsidTr="00946939">
              <w:tc>
                <w:tcPr>
                  <w:tcW w:w="5501" w:type="dxa"/>
                </w:tcPr>
                <w:p w:rsidR="00946939" w:rsidRDefault="00946939" w:rsidP="00946939">
                  <w:pPr>
                    <w:rPr>
                      <w:sz w:val="20"/>
                    </w:rPr>
                  </w:pPr>
                  <w:r>
                    <w:rPr>
                      <w:sz w:val="20"/>
                    </w:rPr>
                    <w:t>Check one: Webinar:</w:t>
                  </w:r>
                </w:p>
                <w:p w:rsidR="00946939" w:rsidRPr="00E56AE2" w:rsidRDefault="00946939" w:rsidP="00946939">
                  <w:pPr>
                    <w:pStyle w:val="ListParagraph"/>
                    <w:numPr>
                      <w:ilvl w:val="0"/>
                      <w:numId w:val="7"/>
                    </w:numPr>
                    <w:rPr>
                      <w:sz w:val="20"/>
                    </w:rPr>
                  </w:pPr>
                  <w:r w:rsidRPr="00E56AE2">
                    <w:rPr>
                      <w:sz w:val="20"/>
                    </w:rPr>
                    <w:t xml:space="preserve">30 minute </w:t>
                  </w:r>
                </w:p>
                <w:p w:rsidR="00946939" w:rsidRPr="00E56AE2" w:rsidRDefault="00946939" w:rsidP="00946939">
                  <w:pPr>
                    <w:pStyle w:val="ListParagraph"/>
                    <w:numPr>
                      <w:ilvl w:val="0"/>
                      <w:numId w:val="7"/>
                    </w:numPr>
                    <w:rPr>
                      <w:sz w:val="20"/>
                    </w:rPr>
                  </w:pPr>
                  <w:r w:rsidRPr="00E56AE2">
                    <w:rPr>
                      <w:sz w:val="20"/>
                    </w:rPr>
                    <w:t>90minute</w:t>
                  </w:r>
                </w:p>
                <w:p w:rsidR="00946939" w:rsidRDefault="00946939" w:rsidP="00946939">
                  <w:pPr>
                    <w:rPr>
                      <w:sz w:val="20"/>
                    </w:rPr>
                  </w:pPr>
                </w:p>
              </w:tc>
              <w:tc>
                <w:tcPr>
                  <w:tcW w:w="5502" w:type="dxa"/>
                </w:tcPr>
                <w:p w:rsidR="00946939" w:rsidRDefault="00946939" w:rsidP="00946939">
                  <w:pPr>
                    <w:rPr>
                      <w:sz w:val="20"/>
                    </w:rPr>
                  </w:pPr>
                  <w:r>
                    <w:rPr>
                      <w:sz w:val="20"/>
                    </w:rPr>
                    <w:t>In person:</w:t>
                  </w:r>
                </w:p>
                <w:p w:rsidR="00946939" w:rsidRPr="00E56AE2" w:rsidRDefault="00946939" w:rsidP="00946939">
                  <w:pPr>
                    <w:pStyle w:val="ListParagraph"/>
                    <w:numPr>
                      <w:ilvl w:val="0"/>
                      <w:numId w:val="6"/>
                    </w:numPr>
                    <w:rPr>
                      <w:sz w:val="20"/>
                    </w:rPr>
                  </w:pPr>
                  <w:r w:rsidRPr="00E56AE2">
                    <w:rPr>
                      <w:sz w:val="20"/>
                    </w:rPr>
                    <w:t xml:space="preserve">1/2 day  </w:t>
                  </w:r>
                </w:p>
                <w:p w:rsidR="00946939" w:rsidRPr="00E56AE2" w:rsidRDefault="00946939" w:rsidP="00946939">
                  <w:pPr>
                    <w:pStyle w:val="ListParagraph"/>
                    <w:numPr>
                      <w:ilvl w:val="0"/>
                      <w:numId w:val="6"/>
                    </w:numPr>
                    <w:rPr>
                      <w:sz w:val="20"/>
                    </w:rPr>
                  </w:pPr>
                  <w:r w:rsidRPr="00E56AE2">
                    <w:rPr>
                      <w:sz w:val="20"/>
                    </w:rPr>
                    <w:t xml:space="preserve">1 day </w:t>
                  </w:r>
                </w:p>
                <w:p w:rsidR="00946939" w:rsidRPr="00E56AE2" w:rsidRDefault="00946939" w:rsidP="00946939">
                  <w:pPr>
                    <w:pStyle w:val="ListParagraph"/>
                    <w:numPr>
                      <w:ilvl w:val="0"/>
                      <w:numId w:val="6"/>
                    </w:numPr>
                    <w:rPr>
                      <w:sz w:val="20"/>
                    </w:rPr>
                  </w:pPr>
                  <w:r w:rsidRPr="00E56AE2">
                    <w:rPr>
                      <w:sz w:val="20"/>
                    </w:rPr>
                    <w:t>2 day</w:t>
                  </w:r>
                </w:p>
              </w:tc>
            </w:tr>
          </w:tbl>
          <w:p w:rsidR="00946939" w:rsidRDefault="00946939" w:rsidP="00946939"/>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b/>
                <w:sz w:val="22"/>
                <w:szCs w:val="22"/>
              </w:rPr>
            </w:pPr>
            <w:r>
              <w:rPr>
                <w:sz w:val="22"/>
                <w:szCs w:val="22"/>
              </w:rPr>
              <w:t>12</w:t>
            </w:r>
            <w:r w:rsidR="00941324" w:rsidRPr="00941324">
              <w:rPr>
                <w:sz w:val="22"/>
                <w:szCs w:val="22"/>
              </w:rPr>
              <w:t xml:space="preserve">. </w:t>
            </w:r>
            <w:r w:rsidR="00946939" w:rsidRPr="00941324">
              <w:rPr>
                <w:sz w:val="22"/>
                <w:szCs w:val="22"/>
              </w:rPr>
              <w:t>Which parts?</w:t>
            </w:r>
          </w:p>
        </w:tc>
        <w:tc>
          <w:tcPr>
            <w:tcW w:w="11430" w:type="dxa"/>
            <w:gridSpan w:val="7"/>
            <w:tcMar>
              <w:left w:w="0" w:type="dxa"/>
              <w:right w:w="0" w:type="dxa"/>
            </w:tcMar>
          </w:tcPr>
          <w:p w:rsidR="00946939" w:rsidRDefault="007E6889" w:rsidP="001E4DD9">
            <w:r>
              <w:t xml:space="preserve"> In my opinion, this would not be easily repurposed into a webinar or shorter session. It is extremely in depth. I could see the utility, perhaps, of reformatting the workbook and providing it as a resource, but in order to cover the breadth of the course, I think that the instructional component needs to be as extensive as it is at present.</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sz w:val="22"/>
                <w:szCs w:val="22"/>
              </w:rPr>
            </w:pPr>
            <w:r>
              <w:rPr>
                <w:sz w:val="22"/>
                <w:szCs w:val="22"/>
              </w:rPr>
              <w:t>13</w:t>
            </w:r>
            <w:r w:rsidR="00941324" w:rsidRPr="00941324">
              <w:rPr>
                <w:sz w:val="22"/>
                <w:szCs w:val="22"/>
              </w:rPr>
              <w:t xml:space="preserve">. </w:t>
            </w:r>
            <w:r w:rsidR="00946939" w:rsidRPr="00941324">
              <w:rPr>
                <w:sz w:val="22"/>
                <w:szCs w:val="22"/>
              </w:rPr>
              <w:t>Does it lend itself to repurposing as an audio CD?</w:t>
            </w:r>
          </w:p>
        </w:tc>
        <w:tc>
          <w:tcPr>
            <w:tcW w:w="11430" w:type="dxa"/>
            <w:gridSpan w:val="7"/>
            <w:tcMar>
              <w:left w:w="0" w:type="dxa"/>
              <w:right w:w="0" w:type="dxa"/>
            </w:tcMar>
          </w:tcPr>
          <w:p w:rsidR="00946939" w:rsidRDefault="007E6889" w:rsidP="001E4DD9">
            <w:r>
              <w:t xml:space="preserve"> No.</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46939" w:rsidP="001E4DD9">
            <w:pPr>
              <w:rPr>
                <w:sz w:val="22"/>
                <w:szCs w:val="22"/>
              </w:rPr>
            </w:pPr>
            <w:r w:rsidRPr="00941324">
              <w:rPr>
                <w:sz w:val="22"/>
                <w:szCs w:val="22"/>
              </w:rPr>
              <w:t>Which parts?</w:t>
            </w:r>
          </w:p>
        </w:tc>
        <w:tc>
          <w:tcPr>
            <w:tcW w:w="11430" w:type="dxa"/>
            <w:gridSpan w:val="7"/>
            <w:tcMar>
              <w:left w:w="0" w:type="dxa"/>
              <w:right w:w="0" w:type="dxa"/>
            </w:tcMar>
          </w:tcPr>
          <w:p w:rsidR="00946939" w:rsidRDefault="00946939" w:rsidP="001E4DD9"/>
        </w:tc>
      </w:tr>
    </w:tbl>
    <w:p w:rsidR="00941324" w:rsidRDefault="00941324" w:rsidP="00CA7DE9">
      <w:pPr>
        <w:rPr>
          <w:sz w:val="32"/>
          <w:szCs w:val="32"/>
        </w:rPr>
      </w:pPr>
    </w:p>
    <w:p w:rsidR="006E4D86" w:rsidRDefault="006E4D86" w:rsidP="00CA7DE9">
      <w:pPr>
        <w:rPr>
          <w:sz w:val="32"/>
          <w:szCs w:val="32"/>
        </w:rPr>
      </w:pPr>
    </w:p>
    <w:p w:rsidR="006E4D86" w:rsidRDefault="006E4D86" w:rsidP="00CA7DE9">
      <w:pPr>
        <w:rPr>
          <w:sz w:val="32"/>
          <w:szCs w:val="32"/>
        </w:rPr>
      </w:pPr>
    </w:p>
    <w:p w:rsidR="006E4D86" w:rsidRDefault="006E4D86" w:rsidP="006E4D86">
      <w:pPr>
        <w:rPr>
          <w:sz w:val="32"/>
          <w:szCs w:val="32"/>
        </w:rPr>
      </w:pPr>
      <w:r>
        <w:rPr>
          <w:sz w:val="32"/>
          <w:szCs w:val="32"/>
        </w:rPr>
        <w:t>Other comments:</w:t>
      </w:r>
      <w:r w:rsidR="007E6889">
        <w:rPr>
          <w:sz w:val="32"/>
          <w:szCs w:val="32"/>
        </w:rPr>
        <w:t xml:space="preserve"> This is an excellent and exemplary course. </w:t>
      </w:r>
      <w:r w:rsidR="00531091">
        <w:rPr>
          <w:sz w:val="32"/>
          <w:szCs w:val="32"/>
        </w:rPr>
        <w:t>It would be helpful to note that participants can bring an electronic version of DACS. As time goes on, it might be useful to introduce AT to ArchivesSpace transitions either here on in another course.</w:t>
      </w:r>
      <w:bookmarkStart w:id="0" w:name="_GoBack"/>
      <w:bookmarkEnd w:id="0"/>
    </w:p>
    <w:p w:rsidR="006E4D86" w:rsidRDefault="006E4D86" w:rsidP="00CA7DE9">
      <w:pPr>
        <w:rPr>
          <w:sz w:val="32"/>
          <w:szCs w:val="32"/>
        </w:rPr>
      </w:pPr>
    </w:p>
    <w:sectPr w:rsidR="006E4D86" w:rsidSect="00A63966">
      <w:footerReference w:type="even" r:id="rId10"/>
      <w:footerReference w:type="default" r:id="rId11"/>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AE" w:rsidRDefault="002638AE" w:rsidP="001100D1">
      <w:r>
        <w:separator/>
      </w:r>
    </w:p>
  </w:endnote>
  <w:endnote w:type="continuationSeparator" w:id="0">
    <w:p w:rsidR="002638AE" w:rsidRDefault="002638AE"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C" w:rsidRDefault="00900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6DC" w:rsidRDefault="009006DC">
    <w:pPr>
      <w:pStyle w:val="Footer"/>
    </w:pPr>
  </w:p>
  <w:p w:rsidR="009006DC" w:rsidRDefault="009006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C" w:rsidRDefault="00900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1091">
      <w:rPr>
        <w:rStyle w:val="PageNumber"/>
        <w:noProof/>
      </w:rPr>
      <w:t>3</w:t>
    </w:r>
    <w:r>
      <w:rPr>
        <w:rStyle w:val="PageNumber"/>
      </w:rPr>
      <w:fldChar w:fldCharType="end"/>
    </w:r>
  </w:p>
  <w:p w:rsidR="009006DC" w:rsidRDefault="009006DC" w:rsidP="00445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AE" w:rsidRDefault="002638AE" w:rsidP="001100D1">
      <w:r>
        <w:separator/>
      </w:r>
    </w:p>
  </w:footnote>
  <w:footnote w:type="continuationSeparator" w:id="0">
    <w:p w:rsidR="002638AE" w:rsidRDefault="002638AE" w:rsidP="001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28028D"/>
    <w:multiLevelType w:val="multilevel"/>
    <w:tmpl w:val="0C5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2"/>
  </w:num>
  <w:num w:numId="5">
    <w:abstractNumId w:val="3"/>
  </w:num>
  <w:num w:numId="6">
    <w:abstractNumId w:val="1"/>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1"/>
    <w:rsid w:val="00014D40"/>
    <w:rsid w:val="00064A61"/>
    <w:rsid w:val="000B4826"/>
    <w:rsid w:val="000D0440"/>
    <w:rsid w:val="000E227E"/>
    <w:rsid w:val="001100D1"/>
    <w:rsid w:val="00112E8A"/>
    <w:rsid w:val="00123737"/>
    <w:rsid w:val="001325FE"/>
    <w:rsid w:val="00197890"/>
    <w:rsid w:val="001B2222"/>
    <w:rsid w:val="001E4DD9"/>
    <w:rsid w:val="002638AE"/>
    <w:rsid w:val="00294A94"/>
    <w:rsid w:val="002C5475"/>
    <w:rsid w:val="003A1771"/>
    <w:rsid w:val="003B290B"/>
    <w:rsid w:val="003C5ECA"/>
    <w:rsid w:val="003F3BB3"/>
    <w:rsid w:val="0040209A"/>
    <w:rsid w:val="00445E46"/>
    <w:rsid w:val="00465F4B"/>
    <w:rsid w:val="004C062B"/>
    <w:rsid w:val="004F6C62"/>
    <w:rsid w:val="00510ACD"/>
    <w:rsid w:val="00531091"/>
    <w:rsid w:val="00535560"/>
    <w:rsid w:val="0056541F"/>
    <w:rsid w:val="0059087E"/>
    <w:rsid w:val="005C53E1"/>
    <w:rsid w:val="005F0CCC"/>
    <w:rsid w:val="00612F6E"/>
    <w:rsid w:val="00686DD6"/>
    <w:rsid w:val="006D5F69"/>
    <w:rsid w:val="006E4D86"/>
    <w:rsid w:val="007144AC"/>
    <w:rsid w:val="007833C8"/>
    <w:rsid w:val="0079035B"/>
    <w:rsid w:val="007E6889"/>
    <w:rsid w:val="008432BA"/>
    <w:rsid w:val="008578C2"/>
    <w:rsid w:val="008946B3"/>
    <w:rsid w:val="008A79DC"/>
    <w:rsid w:val="009006DC"/>
    <w:rsid w:val="0090363F"/>
    <w:rsid w:val="00941324"/>
    <w:rsid w:val="00944BBE"/>
    <w:rsid w:val="00946939"/>
    <w:rsid w:val="00955A3B"/>
    <w:rsid w:val="009969C0"/>
    <w:rsid w:val="009B766E"/>
    <w:rsid w:val="00A5505B"/>
    <w:rsid w:val="00A63966"/>
    <w:rsid w:val="00A96319"/>
    <w:rsid w:val="00AB3AFE"/>
    <w:rsid w:val="00B82EBB"/>
    <w:rsid w:val="00B95201"/>
    <w:rsid w:val="00BA0172"/>
    <w:rsid w:val="00C27D2E"/>
    <w:rsid w:val="00C76025"/>
    <w:rsid w:val="00C86F09"/>
    <w:rsid w:val="00CA7DE9"/>
    <w:rsid w:val="00CE3E8A"/>
    <w:rsid w:val="00CF5AF7"/>
    <w:rsid w:val="00D21879"/>
    <w:rsid w:val="00D42D3C"/>
    <w:rsid w:val="00D701EC"/>
    <w:rsid w:val="00D718EC"/>
    <w:rsid w:val="00DF1439"/>
    <w:rsid w:val="00E23733"/>
    <w:rsid w:val="00E90E91"/>
    <w:rsid w:val="00ED2BCE"/>
    <w:rsid w:val="00F401A3"/>
    <w:rsid w:val="00F6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 w:id="11477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5E01-F766-42E1-BEE2-F1549D8F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Installers</cp:lastModifiedBy>
  <cp:revision>9</cp:revision>
  <cp:lastPrinted>2012-02-16T17:54:00Z</cp:lastPrinted>
  <dcterms:created xsi:type="dcterms:W3CDTF">2013-06-07T19:49:00Z</dcterms:created>
  <dcterms:modified xsi:type="dcterms:W3CDTF">2014-03-03T19:44:00Z</dcterms:modified>
</cp:coreProperties>
</file>